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4C" w:rsidRDefault="00886B36" w:rsidP="0088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>Litteratur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siden </w:t>
      </w:r>
    </w:p>
    <w:p w:rsidR="000C64CE" w:rsidRDefault="000C64CE" w:rsidP="000C64CE">
      <w:pPr>
        <w:pStyle w:val="Heading2"/>
        <w:spacing w:before="0" w:beforeAutospacing="0" w:after="0" w:afterAutospacing="0"/>
      </w:pPr>
      <w:r>
        <w:t>Grøntsager</w:t>
      </w:r>
    </w:p>
    <w:p w:rsidR="00886B36" w:rsidRPr="00886B36" w:rsidRDefault="000C64CE" w:rsidP="0088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Vi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henviser først til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danske 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kilder,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vi har prioriteret dem, der 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kan læses på internettet, hvor det er muligt.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Dernæst kilder på andre sprog. Litteraturen dækker 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>tilsammen indholdet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siden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0C64CE" w:rsidRPr="00FF7EBF" w:rsidRDefault="000C64CE" w:rsidP="000C6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a-DK"/>
        </w:rPr>
        <w:t>Kilder på dansk:</w:t>
      </w:r>
    </w:p>
    <w:p w:rsidR="008E69E2" w:rsidRPr="000C64CE" w:rsidRDefault="008E69E2" w:rsidP="008E69E2">
      <w:pPr>
        <w:pStyle w:val="NormalWeb"/>
        <w:spacing w:before="0" w:beforeAutospacing="0" w:after="0" w:afterAutospacing="0"/>
      </w:pPr>
      <w:r w:rsidRPr="000C64CE">
        <w:rPr>
          <w:rStyle w:val="Strong"/>
        </w:rPr>
        <w:t>Anilinfarver </w:t>
      </w:r>
      <w:r w:rsidRPr="000C64CE">
        <w:t>af Mads Chr. Christensen (2009) i Den Store Danske på lex.dk. </w:t>
      </w:r>
      <w:r w:rsidRPr="000C64CE">
        <w:rPr>
          <w:b/>
          <w:bCs/>
        </w:rPr>
        <w:br/>
      </w:r>
      <w:hyperlink r:id="rId4" w:history="1">
        <w:r w:rsidRPr="000C64CE">
          <w:rPr>
            <w:rStyle w:val="Hyperlink"/>
            <w:b/>
            <w:bCs/>
            <w:color w:val="1155CC"/>
            <w:sz w:val="22"/>
            <w:szCs w:val="22"/>
          </w:rPr>
          <w:t>anilinfarver | lex.dk</w:t>
        </w:r>
      </w:hyperlink>
    </w:p>
    <w:p w:rsidR="008E69E2" w:rsidRPr="000C64CE" w:rsidRDefault="008E69E2" w:rsidP="008E69E2">
      <w:pPr>
        <w:pStyle w:val="NormalWeb"/>
        <w:spacing w:before="0" w:beforeAutospacing="0" w:after="0" w:afterAutospacing="0"/>
      </w:pPr>
      <w:r w:rsidRPr="000C64CE">
        <w:rPr>
          <w:rStyle w:val="Strong"/>
        </w:rPr>
        <w:t>​</w:t>
      </w:r>
    </w:p>
    <w:p w:rsidR="008E69E2" w:rsidRPr="000C64CE" w:rsidRDefault="008E69E2" w:rsidP="008E69E2">
      <w:pPr>
        <w:pStyle w:val="NormalWeb"/>
        <w:spacing w:before="0" w:beforeAutospacing="0" w:after="0" w:afterAutospacing="0"/>
      </w:pPr>
      <w:r w:rsidRPr="000C64CE">
        <w:rPr>
          <w:rStyle w:val="Strong"/>
        </w:rPr>
        <w:t>De Gamle Sorter af vore Køkkenurter </w:t>
      </w:r>
      <w:r w:rsidRPr="000C64CE">
        <w:t>af Svend Erik Nielsen (2018).</w:t>
      </w:r>
    </w:p>
    <w:p w:rsidR="008E69E2" w:rsidRPr="000C64CE" w:rsidRDefault="008E69E2" w:rsidP="008E69E2">
      <w:pPr>
        <w:pStyle w:val="NormalWeb"/>
        <w:spacing w:before="0" w:beforeAutospacing="0" w:after="0" w:afterAutospacing="0"/>
      </w:pPr>
      <w:hyperlink r:id="rId5" w:history="1">
        <w:r w:rsidRPr="000C64CE">
          <w:rPr>
            <w:rStyle w:val="Hyperlink"/>
            <w:color w:val="1155CC"/>
            <w:sz w:val="22"/>
            <w:szCs w:val="22"/>
          </w:rPr>
          <w:t>degamlesorter.dk – Gamle sorter af køkkenurter og de historier og beskrivelser, der knytter sig til dem</w:t>
        </w:r>
      </w:hyperlink>
    </w:p>
    <w:p w:rsidR="008E69E2" w:rsidRPr="000C64CE" w:rsidRDefault="008E69E2" w:rsidP="008E69E2">
      <w:pPr>
        <w:pStyle w:val="NormalWeb"/>
        <w:spacing w:before="0" w:beforeAutospacing="0" w:after="0" w:afterAutospacing="0"/>
      </w:pPr>
      <w:r w:rsidRPr="000C64CE">
        <w:rPr>
          <w:color w:val="1155CC"/>
          <w:sz w:val="22"/>
          <w:szCs w:val="22"/>
        </w:rPr>
        <w:t>​</w:t>
      </w:r>
    </w:p>
    <w:p w:rsidR="008E69E2" w:rsidRPr="000C64CE" w:rsidRDefault="008E69E2" w:rsidP="008E69E2">
      <w:pPr>
        <w:pStyle w:val="NormalWeb"/>
        <w:spacing w:before="0" w:beforeAutospacing="0" w:after="0" w:afterAutospacing="0"/>
      </w:pPr>
      <w:r w:rsidRPr="000C64CE">
        <w:rPr>
          <w:rStyle w:val="Strong"/>
        </w:rPr>
        <w:t>Klosterplanter, før klostre byggedes i Norden </w:t>
      </w:r>
      <w:r w:rsidRPr="000C64CE">
        <w:t>af Johan Lange (1997) i  Meddelelser fra Havehistorisk Selskab, 27, s. 18-23.</w:t>
      </w:r>
      <w:r w:rsidRPr="000C64CE">
        <w:br/>
      </w:r>
      <w:hyperlink r:id="rId6" w:history="1">
        <w:r w:rsidRPr="000C64CE">
          <w:rPr>
            <w:rStyle w:val="Hyperlink"/>
            <w:sz w:val="22"/>
            <w:szCs w:val="22"/>
          </w:rPr>
          <w:t>"Klosterplanter" før klostre byggedes i Norden | Fra Kvangård til Humlekule</w:t>
        </w:r>
      </w:hyperlink>
    </w:p>
    <w:p w:rsidR="008E69E2" w:rsidRPr="000C64CE" w:rsidRDefault="008E69E2" w:rsidP="008E69E2">
      <w:pPr>
        <w:pStyle w:val="NormalWeb"/>
        <w:spacing w:before="0" w:beforeAutospacing="0" w:after="0" w:afterAutospacing="0"/>
      </w:pPr>
      <w:r w:rsidRPr="000C64CE">
        <w:rPr>
          <w:color w:val="1155CC"/>
          <w:sz w:val="22"/>
          <w:szCs w:val="22"/>
        </w:rPr>
        <w:t>​</w:t>
      </w:r>
    </w:p>
    <w:p w:rsidR="008E69E2" w:rsidRPr="000C64CE" w:rsidRDefault="008E69E2" w:rsidP="008E69E2">
      <w:pPr>
        <w:pStyle w:val="NormalWeb"/>
        <w:spacing w:before="0" w:beforeAutospacing="0" w:after="0" w:afterAutospacing="0"/>
      </w:pPr>
      <w:r w:rsidRPr="000C64CE">
        <w:rPr>
          <w:rStyle w:val="Strong"/>
        </w:rPr>
        <w:t>Køkkenhaven: Den grønne arv</w:t>
      </w:r>
      <w:r w:rsidRPr="000C64CE">
        <w:t xml:space="preserve"> af Lena </w:t>
      </w:r>
      <w:proofErr w:type="spellStart"/>
      <w:r w:rsidRPr="000C64CE">
        <w:t>Israelsson</w:t>
      </w:r>
      <w:proofErr w:type="spellEnd"/>
      <w:r w:rsidRPr="000C64CE">
        <w:t xml:space="preserve"> (2002). Christian Ejlers.</w:t>
      </w:r>
    </w:p>
    <w:p w:rsidR="008E69E2" w:rsidRPr="000C64CE" w:rsidRDefault="008E69E2" w:rsidP="008E69E2">
      <w:pPr>
        <w:pStyle w:val="NormalWeb"/>
        <w:spacing w:before="0" w:beforeAutospacing="0" w:after="0" w:afterAutospacing="0"/>
      </w:pPr>
      <w:r w:rsidRPr="000C64CE">
        <w:t>​</w:t>
      </w:r>
    </w:p>
    <w:p w:rsidR="008E69E2" w:rsidRPr="000C64CE" w:rsidRDefault="008E69E2" w:rsidP="008E69E2">
      <w:pPr>
        <w:pStyle w:val="NormalWeb"/>
        <w:spacing w:before="0" w:beforeAutospacing="0" w:after="0" w:afterAutospacing="0"/>
        <w:rPr>
          <w:lang w:val="en-US"/>
        </w:rPr>
      </w:pPr>
      <w:r w:rsidRPr="000C64CE">
        <w:rPr>
          <w:rStyle w:val="Strong"/>
        </w:rPr>
        <w:t xml:space="preserve">Smedegård, en </w:t>
      </w:r>
      <w:proofErr w:type="spellStart"/>
      <w:r w:rsidRPr="000C64CE">
        <w:rPr>
          <w:rStyle w:val="Strong"/>
        </w:rPr>
        <w:t>byhøj</w:t>
      </w:r>
      <w:proofErr w:type="spellEnd"/>
      <w:r w:rsidRPr="000C64CE">
        <w:rPr>
          <w:rStyle w:val="Strong"/>
        </w:rPr>
        <w:t xml:space="preserve"> fra Thy </w:t>
      </w:r>
      <w:r w:rsidRPr="000C64CE">
        <w:t xml:space="preserve">af Peter Steen Henriksen (2002), udgivet af Nationalmuseets </w:t>
      </w:r>
      <w:proofErr w:type="spellStart"/>
      <w:r w:rsidRPr="000C64CE">
        <w:t>Arkæobotaniske</w:t>
      </w:r>
      <w:proofErr w:type="spellEnd"/>
      <w:r w:rsidRPr="000C64CE">
        <w:t xml:space="preserve"> Undersøgelser (NNU Rapport nr. 20, 2002). </w:t>
      </w:r>
      <w:r w:rsidRPr="000C64CE">
        <w:rPr>
          <w:lang w:val="en-US"/>
        </w:rPr>
        <w:t>NNU.</w:t>
      </w:r>
      <w:r w:rsidRPr="000C64CE">
        <w:rPr>
          <w:lang w:val="en-US"/>
        </w:rPr>
        <w:br/>
      </w:r>
      <w:hyperlink r:id="rId7" w:history="1">
        <w:proofErr w:type="spellStart"/>
        <w:r w:rsidRPr="000C64CE">
          <w:rPr>
            <w:rStyle w:val="Hyperlink"/>
            <w:color w:val="1155CC"/>
            <w:sz w:val="22"/>
            <w:szCs w:val="22"/>
            <w:lang w:val="en-US"/>
          </w:rPr>
          <w:t>Smidegaard</w:t>
        </w:r>
        <w:proofErr w:type="spellEnd"/>
        <w:r w:rsidRPr="000C64CE">
          <w:rPr>
            <w:rStyle w:val="Hyperlink"/>
            <w:color w:val="1155CC"/>
            <w:sz w:val="22"/>
            <w:szCs w:val="22"/>
            <w:lang w:val="en-US"/>
          </w:rPr>
          <w:t xml:space="preserve"> - </w:t>
        </w:r>
        <w:proofErr w:type="spellStart"/>
        <w:r w:rsidRPr="000C64CE">
          <w:rPr>
            <w:rStyle w:val="Hyperlink"/>
            <w:color w:val="1155CC"/>
            <w:sz w:val="22"/>
            <w:szCs w:val="22"/>
            <w:lang w:val="en-US"/>
          </w:rPr>
          <w:t>en</w:t>
        </w:r>
        <w:proofErr w:type="spellEnd"/>
        <w:r w:rsidRPr="000C64CE">
          <w:rPr>
            <w:rStyle w:val="Hyperlink"/>
            <w:color w:val="1155CC"/>
            <w:sz w:val="22"/>
            <w:szCs w:val="22"/>
            <w:lang w:val="en-US"/>
          </w:rPr>
          <w:t xml:space="preserve"> </w:t>
        </w:r>
        <w:proofErr w:type="spellStart"/>
        <w:r w:rsidRPr="000C64CE">
          <w:rPr>
            <w:rStyle w:val="Hyperlink"/>
            <w:color w:val="1155CC"/>
            <w:sz w:val="22"/>
            <w:szCs w:val="22"/>
            <w:lang w:val="en-US"/>
          </w:rPr>
          <w:t>byhøj</w:t>
        </w:r>
        <w:proofErr w:type="spellEnd"/>
        <w:r w:rsidRPr="000C64CE">
          <w:rPr>
            <w:rStyle w:val="Hyperlink"/>
            <w:color w:val="1155CC"/>
            <w:sz w:val="22"/>
            <w:szCs w:val="22"/>
            <w:lang w:val="en-US"/>
          </w:rPr>
          <w:t xml:space="preserve"> </w:t>
        </w:r>
        <w:proofErr w:type="spellStart"/>
        <w:proofErr w:type="gramStart"/>
        <w:r w:rsidRPr="000C64CE">
          <w:rPr>
            <w:rStyle w:val="Hyperlink"/>
            <w:color w:val="1155CC"/>
            <w:sz w:val="22"/>
            <w:szCs w:val="22"/>
            <w:lang w:val="en-US"/>
          </w:rPr>
          <w:t>fra</w:t>
        </w:r>
        <w:proofErr w:type="spellEnd"/>
        <w:proofErr w:type="gramEnd"/>
        <w:r w:rsidRPr="000C64CE">
          <w:rPr>
            <w:rStyle w:val="Hyperlink"/>
            <w:color w:val="1155CC"/>
            <w:sz w:val="22"/>
            <w:szCs w:val="22"/>
            <w:lang w:val="en-US"/>
          </w:rPr>
          <w:t xml:space="preserve"> Thy</w:t>
        </w:r>
      </w:hyperlink>
    </w:p>
    <w:p w:rsidR="008E69E2" w:rsidRPr="000C64CE" w:rsidRDefault="008E69E2" w:rsidP="008E69E2">
      <w:pPr>
        <w:pStyle w:val="NormalWeb"/>
        <w:spacing w:before="0" w:beforeAutospacing="0" w:after="0" w:afterAutospacing="0"/>
        <w:rPr>
          <w:lang w:val="en-US"/>
        </w:rPr>
      </w:pPr>
      <w:r w:rsidRPr="000C64CE">
        <w:rPr>
          <w:lang w:val="en-US"/>
        </w:rPr>
        <w:t>​</w:t>
      </w:r>
    </w:p>
    <w:p w:rsidR="000C64CE" w:rsidRDefault="000C64CE" w:rsidP="000C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da-DK"/>
        </w:rPr>
      </w:pPr>
      <w:proofErr w:type="spellStart"/>
      <w:r w:rsidRPr="000C64C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da-DK"/>
        </w:rPr>
        <w:t>Kilder</w:t>
      </w:r>
      <w:proofErr w:type="spellEnd"/>
      <w:r w:rsidRPr="000C64C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da-DK"/>
        </w:rPr>
        <w:t xml:space="preserve"> </w:t>
      </w:r>
      <w:proofErr w:type="spellStart"/>
      <w:r w:rsidRPr="000C64C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da-DK"/>
        </w:rPr>
        <w:t>på</w:t>
      </w:r>
      <w:proofErr w:type="spellEnd"/>
      <w:r w:rsidRPr="000C64C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da-DK"/>
        </w:rPr>
        <w:t xml:space="preserve"> </w:t>
      </w:r>
      <w:proofErr w:type="spellStart"/>
      <w:proofErr w:type="gramStart"/>
      <w:r w:rsidRPr="000C64C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da-DK"/>
        </w:rPr>
        <w:t>andre</w:t>
      </w:r>
      <w:proofErr w:type="spellEnd"/>
      <w:proofErr w:type="gramEnd"/>
      <w:r w:rsidRPr="000C64C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da-DK"/>
        </w:rPr>
        <w:t xml:space="preserve"> sprog:</w:t>
      </w:r>
    </w:p>
    <w:p w:rsidR="000C64CE" w:rsidRPr="000C64CE" w:rsidRDefault="000C64CE" w:rsidP="000C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da-DK"/>
        </w:rPr>
      </w:pPr>
    </w:p>
    <w:p w:rsidR="000C64CE" w:rsidRDefault="000C64CE" w:rsidP="000C64CE">
      <w:pPr>
        <w:pStyle w:val="NormalWeb"/>
        <w:spacing w:before="0" w:beforeAutospacing="0" w:after="0" w:afterAutospacing="0"/>
        <w:rPr>
          <w:lang w:val="en-US"/>
        </w:rPr>
      </w:pPr>
      <w:r w:rsidRPr="00FF7EBF">
        <w:rPr>
          <w:b/>
          <w:bCs/>
          <w:lang w:val="en-US"/>
        </w:rPr>
        <w:t xml:space="preserve">Secondary food plants from medieval sites in Denmark: Fruits, nuts, vegetables, herbs and spices </w:t>
      </w:r>
      <w:proofErr w:type="spellStart"/>
      <w:proofErr w:type="gramStart"/>
      <w:r w:rsidRPr="00FF7EBF">
        <w:rPr>
          <w:lang w:val="en-US"/>
        </w:rPr>
        <w:t>af</w:t>
      </w:r>
      <w:proofErr w:type="spellEnd"/>
      <w:proofErr w:type="gramEnd"/>
      <w:r w:rsidRPr="00FF7EBF">
        <w:rPr>
          <w:lang w:val="en-US"/>
        </w:rPr>
        <w:t xml:space="preserve"> Sabine Karg og David Robinson (2002) </w:t>
      </w:r>
      <w:proofErr w:type="spellStart"/>
      <w:r w:rsidRPr="00FF7EBF">
        <w:rPr>
          <w:lang w:val="en-US"/>
        </w:rPr>
        <w:t>fra</w:t>
      </w:r>
      <w:proofErr w:type="spellEnd"/>
      <w:r w:rsidRPr="00FF7EBF">
        <w:rPr>
          <w:lang w:val="en-US"/>
        </w:rPr>
        <w:t xml:space="preserve"> Nordic </w:t>
      </w:r>
      <w:proofErr w:type="spellStart"/>
      <w:r w:rsidRPr="00FF7EBF">
        <w:rPr>
          <w:lang w:val="en-US"/>
        </w:rPr>
        <w:t>Archaeobotany</w:t>
      </w:r>
      <w:proofErr w:type="spellEnd"/>
      <w:r w:rsidRPr="00FF7EBF">
        <w:rPr>
          <w:lang w:val="en-US"/>
        </w:rPr>
        <w:t xml:space="preserve">-NAG 2000 in </w:t>
      </w:r>
      <w:proofErr w:type="spellStart"/>
      <w:r w:rsidRPr="00FF7EBF">
        <w:rPr>
          <w:lang w:val="en-US"/>
        </w:rPr>
        <w:t>Umeå</w:t>
      </w:r>
      <w:proofErr w:type="spellEnd"/>
      <w:r w:rsidRPr="00FF7EBF">
        <w:rPr>
          <w:lang w:val="en-US"/>
        </w:rPr>
        <w:t xml:space="preserve">. </w:t>
      </w:r>
      <w:proofErr w:type="gramStart"/>
      <w:r w:rsidRPr="00FF7EBF">
        <w:rPr>
          <w:lang w:val="en-US"/>
        </w:rPr>
        <w:t>I Archaeology and Environment, 15, 133-142</w:t>
      </w:r>
      <w:proofErr w:type="gramEnd"/>
      <w:r w:rsidRPr="00FF7EBF">
        <w:rPr>
          <w:lang w:val="en-US"/>
        </w:rPr>
        <w:t>.</w:t>
      </w:r>
    </w:p>
    <w:p w:rsidR="000C64CE" w:rsidRPr="00FF7EBF" w:rsidRDefault="000C64CE" w:rsidP="000C64CE">
      <w:pPr>
        <w:pStyle w:val="NormalWeb"/>
        <w:spacing w:before="0" w:beforeAutospacing="0" w:after="0" w:afterAutospacing="0"/>
        <w:rPr>
          <w:lang w:val="en-US"/>
        </w:rPr>
      </w:pPr>
    </w:p>
    <w:p w:rsidR="008E69E2" w:rsidRPr="000C64CE" w:rsidRDefault="008E69E2" w:rsidP="008E69E2">
      <w:pPr>
        <w:pStyle w:val="NormalWeb"/>
        <w:spacing w:before="0" w:beforeAutospacing="0" w:after="0" w:afterAutospacing="0"/>
      </w:pPr>
      <w:bookmarkStart w:id="0" w:name="_GoBack"/>
      <w:bookmarkEnd w:id="0"/>
      <w:r w:rsidRPr="000C64CE">
        <w:rPr>
          <w:rStyle w:val="Strong"/>
          <w:lang w:val="en-US"/>
        </w:rPr>
        <w:t xml:space="preserve">Seeds and other diaspores in soil samples from Danish town and monastery excavations, dated 700-1536 AD </w:t>
      </w:r>
      <w:proofErr w:type="spellStart"/>
      <w:proofErr w:type="gramStart"/>
      <w:r w:rsidRPr="000C64CE">
        <w:rPr>
          <w:lang w:val="en-US"/>
        </w:rPr>
        <w:t>af</w:t>
      </w:r>
      <w:proofErr w:type="spellEnd"/>
      <w:proofErr w:type="gramEnd"/>
      <w:r w:rsidRPr="000C64CE">
        <w:rPr>
          <w:lang w:val="en-US"/>
        </w:rPr>
        <w:t xml:space="preserve"> Jensen (1986) </w:t>
      </w:r>
      <w:proofErr w:type="spellStart"/>
      <w:r w:rsidRPr="000C64CE">
        <w:rPr>
          <w:lang w:val="en-US"/>
        </w:rPr>
        <w:t>i</w:t>
      </w:r>
      <w:proofErr w:type="spellEnd"/>
      <w:r w:rsidRPr="000C64CE">
        <w:rPr>
          <w:lang w:val="en-US"/>
        </w:rPr>
        <w:t xml:space="preserve"> Nordic Journal of Botany, 7(4), 382–382. </w:t>
      </w:r>
      <w:r w:rsidRPr="000C64CE">
        <w:rPr>
          <w:lang w:val="en-US"/>
        </w:rPr>
        <w:br/>
      </w:r>
      <w:hyperlink r:id="rId8" w:history="1">
        <w:proofErr w:type="spellStart"/>
        <w:r w:rsidRPr="000C64CE">
          <w:rPr>
            <w:rStyle w:val="Hyperlink"/>
          </w:rPr>
          <w:t>Seeds</w:t>
        </w:r>
        <w:proofErr w:type="spellEnd"/>
        <w:r w:rsidRPr="000C64CE">
          <w:rPr>
            <w:rStyle w:val="Hyperlink"/>
          </w:rPr>
          <w:t xml:space="preserve"> and </w:t>
        </w:r>
        <w:proofErr w:type="spellStart"/>
        <w:r w:rsidRPr="000C64CE">
          <w:rPr>
            <w:rStyle w:val="Hyperlink"/>
          </w:rPr>
          <w:t>other</w:t>
        </w:r>
        <w:proofErr w:type="spellEnd"/>
        <w:r w:rsidRPr="000C64CE">
          <w:rPr>
            <w:rStyle w:val="Hyperlink"/>
          </w:rPr>
          <w:t xml:space="preserve"> diaspores in </w:t>
        </w:r>
        <w:proofErr w:type="spellStart"/>
        <w:r w:rsidRPr="000C64CE">
          <w:rPr>
            <w:rStyle w:val="Hyperlink"/>
          </w:rPr>
          <w:t>soil</w:t>
        </w:r>
        <w:proofErr w:type="spellEnd"/>
        <w:r w:rsidRPr="000C64CE">
          <w:rPr>
            <w:rStyle w:val="Hyperlink"/>
          </w:rPr>
          <w:t xml:space="preserve"> samples</w:t>
        </w:r>
      </w:hyperlink>
    </w:p>
    <w:p w:rsidR="008E69E2" w:rsidRDefault="008E69E2" w:rsidP="008E69E2">
      <w:pPr>
        <w:pStyle w:val="NormalWeb"/>
        <w:spacing w:before="0" w:beforeAutospacing="0" w:after="0" w:afterAutospacing="0"/>
      </w:pPr>
      <w:r>
        <w:t>​</w:t>
      </w:r>
    </w:p>
    <w:p w:rsidR="000C64CE" w:rsidRPr="00FF7EBF" w:rsidRDefault="008E69E2" w:rsidP="000C64CE">
      <w:pPr>
        <w:pStyle w:val="NormalWeb"/>
        <w:spacing w:before="0" w:beforeAutospacing="0" w:after="0" w:afterAutospacing="0"/>
        <w:rPr>
          <w:lang w:val="en-US"/>
        </w:rPr>
      </w:pPr>
      <w:r w:rsidRPr="000C64CE">
        <w:rPr>
          <w:lang w:val="en-US"/>
        </w:rPr>
        <w:t>​</w:t>
      </w:r>
      <w:r w:rsidR="000C64CE" w:rsidRPr="00FF7EBF">
        <w:rPr>
          <w:lang w:val="en-US"/>
        </w:rPr>
        <w:t xml:space="preserve"> </w:t>
      </w:r>
    </w:p>
    <w:sectPr w:rsidR="000C64CE" w:rsidRPr="00FF7E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6"/>
    <w:rsid w:val="000C64CE"/>
    <w:rsid w:val="005808C6"/>
    <w:rsid w:val="00886B36"/>
    <w:rsid w:val="008E69E2"/>
    <w:rsid w:val="00AC69FD"/>
    <w:rsid w:val="00C4074C"/>
    <w:rsid w:val="00F8756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9C94"/>
  <w15:chartTrackingRefBased/>
  <w15:docId w15:val="{C8F49033-2C7C-4DA6-B8D8-5656F8D5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6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Heading3">
    <w:name w:val="heading 3"/>
    <w:basedOn w:val="Normal"/>
    <w:link w:val="Heading3Char"/>
    <w:uiPriority w:val="9"/>
    <w:qFormat/>
    <w:rsid w:val="00886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6B3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886B3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unhideWhenUsed/>
    <w:rsid w:val="0088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886B3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6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756-1051.1987.tb00957.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tmus.dk/fileadmin/user_upload/Editor/natmus/bevaringsafdelingen/billeder/M_M/Arkaeobotanisk_rapportoversigt/2002/2002__NNU_20__Smidegaard__en_byhoej_fra_Thy_arkaeobotaniske_undersoegelse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dsskrift.dk/frakvangaardtilhumlekule/article/view/104117" TargetMode="External"/><Relationship Id="rId5" Type="http://schemas.openxmlformats.org/officeDocument/2006/relationships/hyperlink" Target="http://degamlesorter.d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enstoredanske.lex.dk/anilinfarv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1625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Windfeldt</dc:creator>
  <cp:keywords/>
  <dc:description/>
  <cp:lastModifiedBy>Louise Windfeldt</cp:lastModifiedBy>
  <cp:revision>3</cp:revision>
  <dcterms:created xsi:type="dcterms:W3CDTF">2020-06-14T15:20:00Z</dcterms:created>
  <dcterms:modified xsi:type="dcterms:W3CDTF">2020-06-14T15:24:00Z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